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ED" w:rsidRDefault="00DE6E8D" w:rsidP="00956E5B">
      <w:pPr>
        <w:spacing w:after="0" w:line="220" w:lineRule="atLeast"/>
        <w:rPr>
          <w:rFonts w:eastAsia="Times New Roman" w:cs="Arial"/>
          <w:b/>
          <w:sz w:val="18"/>
          <w:szCs w:val="18"/>
          <w:lang w:eastAsia="pl-PL"/>
        </w:rPr>
      </w:pPr>
      <w:r w:rsidRPr="00DE6E8D">
        <w:rPr>
          <w:rFonts w:eastAsia="Times New Roman" w:cs="Arial"/>
          <w:b/>
          <w:sz w:val="18"/>
          <w:szCs w:val="18"/>
          <w:lang w:eastAsia="pl-PL"/>
        </w:rPr>
        <w:t xml:space="preserve">PRIORYTETY MINISTRA DS. PRACY WYDATKOWANIA </w:t>
      </w:r>
      <w:bookmarkStart w:id="0" w:name="_GoBack"/>
      <w:bookmarkEnd w:id="0"/>
      <w:r w:rsidRPr="00DE6E8D">
        <w:rPr>
          <w:rFonts w:eastAsia="Times New Roman" w:cs="Arial"/>
          <w:b/>
          <w:sz w:val="18"/>
          <w:szCs w:val="18"/>
          <w:lang w:eastAsia="pl-PL"/>
        </w:rPr>
        <w:t>ŚRODKÓW KFS</w:t>
      </w:r>
    </w:p>
    <w:p w:rsidR="000620ED" w:rsidRDefault="000620ED" w:rsidP="00956E5B">
      <w:pPr>
        <w:spacing w:after="0" w:line="220" w:lineRule="atLeast"/>
        <w:rPr>
          <w:rFonts w:eastAsia="Times New Roman" w:cs="Arial"/>
          <w:b/>
          <w:sz w:val="18"/>
          <w:szCs w:val="18"/>
          <w:lang w:eastAsia="pl-PL"/>
        </w:rPr>
      </w:pPr>
    </w:p>
    <w:p w:rsidR="00956E5B" w:rsidRDefault="005E7053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956E5B">
        <w:rPr>
          <w:rFonts w:eastAsia="Times New Roman" w:cs="Arial"/>
          <w:b/>
          <w:sz w:val="18"/>
          <w:szCs w:val="18"/>
          <w:lang w:eastAsia="pl-PL"/>
        </w:rPr>
        <w:t>Priorytet nr 1</w:t>
      </w:r>
      <w:r w:rsidRPr="00956E5B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5E7053" w:rsidRPr="00956E5B" w:rsidRDefault="005E7053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956E5B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Wsparcie rozwoju umiejętności i kwalifikacji w zawodach określonych jako deficytowe na danym terenie tj. w powiecie czy województwie </w:t>
      </w:r>
    </w:p>
    <w:p w:rsidR="001E1DF1" w:rsidRDefault="00235ED0" w:rsidP="001E1DF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Wnioskodawca, który chce spełnić wymagania niniejszego priorytetu powinien udowodnić,</w:t>
      </w:r>
      <w:r w:rsidR="00956E5B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że wskazana forma kształcenia ustawicznego dotyczy zawodu deficytowego na terenie</w:t>
      </w:r>
      <w:r w:rsidR="00956E5B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danego powiatu bąd</w:t>
      </w:r>
      <w:r w:rsidR="00956E5B">
        <w:rPr>
          <w:rFonts w:eastAsia="Times New Roman" w:cs="Arial"/>
          <w:sz w:val="18"/>
          <w:szCs w:val="18"/>
          <w:lang w:eastAsia="pl-PL"/>
        </w:rPr>
        <w:t xml:space="preserve">ź województwa. Oznacza to zawód </w:t>
      </w:r>
      <w:r w:rsidRPr="00235ED0">
        <w:rPr>
          <w:rFonts w:eastAsia="Times New Roman" w:cs="Arial"/>
          <w:sz w:val="18"/>
          <w:szCs w:val="18"/>
          <w:lang w:eastAsia="pl-PL"/>
        </w:rPr>
        <w:t>zidentyfikowany jako deficytowy</w:t>
      </w:r>
      <w:r w:rsidR="00956E5B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 oparciu o wyniki najbardziej aktualnych badań/ analiz, takich jak np.: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„Barometr zawodów”.</w:t>
      </w:r>
    </w:p>
    <w:p w:rsidR="00235ED0" w:rsidRPr="00956E5B" w:rsidRDefault="00235ED0" w:rsidP="001E1DF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</w:r>
    </w:p>
    <w:p w:rsidR="001E1DF1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2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1E1DF1" w:rsidRPr="001E1DF1" w:rsidRDefault="00235ED0" w:rsidP="00D84C51">
      <w:pPr>
        <w:spacing w:after="0" w:line="220" w:lineRule="atLeast"/>
        <w:jc w:val="both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Wsparcie rozwoju umiejętności i kwalifikacji w związku z</w:t>
      </w:r>
      <w:r w:rsidR="001E1DF1" w:rsidRPr="001E1DF1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zastosowaniem w firmach nowych procesów, technologii i narzędzi pracy.– bez zmian</w:t>
      </w:r>
      <w:r w:rsidR="001E1DF1" w:rsidRPr="001E1DF1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 stosunku do lat poprzednich</w:t>
      </w:r>
      <w:r w:rsidR="001E1DF1" w:rsidRPr="001E1DF1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</w:p>
    <w:p w:rsidR="001E1DF1" w:rsidRDefault="00235ED0" w:rsidP="001E1DF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</w:r>
      <w:r w:rsidR="001E1DF1">
        <w:rPr>
          <w:rFonts w:eastAsia="Times New Roman" w:cs="Arial"/>
          <w:sz w:val="18"/>
          <w:szCs w:val="18"/>
          <w:lang w:eastAsia="pl-PL"/>
        </w:rPr>
        <w:t>P</w:t>
      </w:r>
      <w:r w:rsidRPr="00235ED0">
        <w:rPr>
          <w:rFonts w:eastAsia="Times New Roman" w:cs="Arial"/>
          <w:sz w:val="18"/>
          <w:szCs w:val="18"/>
          <w:lang w:eastAsia="pl-PL"/>
        </w:rPr>
        <w:t>rzez „nowe procesy, technologie czy narzędzia pracy” w niniejszym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priorytecie należy rozumieć procesy, technologie, maszyny czy rozwiązania nowe dla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wnioskodawcy a nie dla całego rynku. Pod pojęciem procesów należy rozumieć zaś serię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powiązanych ze sobą działań lub zadań, które rozwiązują problem lub prowadzą do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osiągnięcia określonego efektu. Wnioskodawca, który chce spełnić wymagania priorytetu powinien udowodnić, że w ciągu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jednego roku przed złożeniem wniosku bądź w ciągu trzech miesięcy po jego złożeniu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 </w:t>
      </w:r>
      <w:r w:rsidRPr="00235ED0">
        <w:rPr>
          <w:rFonts w:eastAsia="Times New Roman" w:cs="Arial"/>
          <w:sz w:val="18"/>
          <w:szCs w:val="18"/>
          <w:lang w:eastAsia="pl-PL"/>
        </w:rPr>
        <w:t>zostały/zostaną zakupione nowe maszyny i narzędzia, bądź zostały/będą wdrożone nowe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procesy, technologie i systemy, a osoby objęte kształceniem ustawicznym będą wykonywać</w:t>
      </w:r>
      <w:r w:rsidRPr="00235ED0">
        <w:rPr>
          <w:rFonts w:eastAsia="Times New Roman" w:cs="Arial"/>
          <w:sz w:val="18"/>
          <w:szCs w:val="18"/>
          <w:lang w:eastAsia="pl-PL"/>
        </w:rPr>
        <w:br/>
        <w:t>nowe zadania związane z wprowadzonymi/ planowanymi do wprowadzenia zmianami.</w:t>
      </w:r>
    </w:p>
    <w:p w:rsidR="001E1DF1" w:rsidRDefault="00235ED0" w:rsidP="001E1DF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Wsparciem kształcenia ustawicznego w ramach priorytetu można objąć jedynie osobę, która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 ramach wykonywania swoich zadań zawodowych/ na stanowisku pracy korzysta lub będzie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korzystała z nowych technologii i narzędzi pracy lub która wymaga nabycia nowych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kompetencji niezbędnych do wykonywania pracy w związku z wdrożeniem nowego procesu.</w:t>
      </w:r>
    </w:p>
    <w:p w:rsidR="00235ED0" w:rsidRDefault="00235ED0" w:rsidP="001E1DF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</w:p>
    <w:p w:rsidR="00C07B79" w:rsidRPr="00956E5B" w:rsidRDefault="00C07B79" w:rsidP="001E1DF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</w:p>
    <w:p w:rsidR="001E1DF1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3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1E1DF1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Wsparcie kształcenia ustawicznego pracodawców i ich pracowników</w:t>
      </w:r>
      <w:r w:rsidR="001E1DF1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zgodnie z potrzebami szkoleniowymi, które pojawiły się na terenach dotkniętych przez</w:t>
      </w:r>
      <w:r w:rsidR="001E1DF1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powódź we wrześniu 2024 roku.</w:t>
      </w:r>
    </w:p>
    <w:p w:rsidR="00803C7C" w:rsidRDefault="00235ED0" w:rsidP="00803C7C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Priorytet powyższy oferuje wsparcie pracodawcom prowadzącym działalność na terenach,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na których obowiązuje rozporządzenie Rady Ministrów z 16 września 2024 roku w sprawie</w:t>
      </w:r>
      <w:r w:rsidR="001E1DF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wykazu gmin, w których są stosowane szczególne rozwiązania związane z usuwaniem</w:t>
      </w:r>
      <w:r w:rsidR="00C07B79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skutków powodzi z września 2024 r., oraz rozwiązań stosowanych na ich terenie (Dz. U. 2024poz. 1371).</w:t>
      </w:r>
    </w:p>
    <w:p w:rsidR="00803C7C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Przywołane rozporządzenie dotyczy następujących gmin: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727E48">
        <w:rPr>
          <w:rFonts w:eastAsia="Times New Roman" w:cs="Arial"/>
          <w:sz w:val="18"/>
          <w:szCs w:val="18"/>
          <w:u w:val="single"/>
          <w:lang w:eastAsia="pl-PL"/>
        </w:rPr>
        <w:t>1) w województwie dolnośląskim: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wszystkie gminy położone na terenie powiatów bolesławieckiego,</w:t>
      </w:r>
      <w:r w:rsidRPr="00235ED0">
        <w:rPr>
          <w:rFonts w:eastAsia="Times New Roman" w:cs="Arial"/>
          <w:sz w:val="18"/>
          <w:szCs w:val="18"/>
          <w:lang w:eastAsia="pl-PL"/>
        </w:rPr>
        <w:br/>
        <w:t>dzierżoniowskiego, jaworskiego, kamiennogórskiego, karkonoskiego,</w:t>
      </w:r>
      <w:r w:rsidRPr="00235ED0">
        <w:rPr>
          <w:rFonts w:eastAsia="Times New Roman" w:cs="Arial"/>
          <w:sz w:val="18"/>
          <w:szCs w:val="18"/>
          <w:lang w:eastAsia="pl-PL"/>
        </w:rPr>
        <w:br/>
        <w:t>kłodzkiego, legnickiego, lubańskiego, lwóweckiego, średzkiego, świdnickiego,</w:t>
      </w:r>
      <w:r w:rsidRPr="00235ED0">
        <w:rPr>
          <w:rFonts w:eastAsia="Times New Roman" w:cs="Arial"/>
          <w:sz w:val="18"/>
          <w:szCs w:val="18"/>
          <w:lang w:eastAsia="pl-PL"/>
        </w:rPr>
        <w:br/>
        <w:t>wałbrzyskiego, wołowskiego, ząbkowickiego, zgorzeleckiego i złotoryjskiego</w:t>
      </w:r>
      <w:r w:rsidRPr="00235ED0">
        <w:rPr>
          <w:rFonts w:eastAsia="Times New Roman" w:cs="Arial"/>
          <w:sz w:val="18"/>
          <w:szCs w:val="18"/>
          <w:lang w:eastAsia="pl-PL"/>
        </w:rPr>
        <w:br/>
        <w:t>oraz miasta na prawach powiatu Jelenia Góra, Legnica i Wałbrzych,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głogowskim - gmina miejska Głogów, gmina wiejska Głogów, gmina</w:t>
      </w:r>
      <w:r w:rsidRPr="00235ED0">
        <w:rPr>
          <w:rFonts w:eastAsia="Times New Roman" w:cs="Arial"/>
          <w:sz w:val="18"/>
          <w:szCs w:val="18"/>
          <w:lang w:eastAsia="pl-PL"/>
        </w:rPr>
        <w:br/>
        <w:t>Kotla, gmina Pęcław i gmina Żukowice,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górowskim - gmina Jemielno,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lubińskim - miasto i gmina Ścinawa,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oławskim - gmina miejska Oława i gmina wiejska Oława,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strzelińskim - gmina Strzelin,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wrocławskim - gmina Kąty Wrocławskie, gmina Mietków i gmina</w:t>
      </w:r>
      <w:r w:rsidRPr="00235ED0">
        <w:rPr>
          <w:rFonts w:eastAsia="Times New Roman" w:cs="Arial"/>
          <w:sz w:val="18"/>
          <w:szCs w:val="18"/>
          <w:lang w:eastAsia="pl-PL"/>
        </w:rPr>
        <w:br/>
        <w:t>Sobótka;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727E48">
        <w:rPr>
          <w:rFonts w:eastAsia="Times New Roman" w:cs="Arial"/>
          <w:sz w:val="18"/>
          <w:szCs w:val="18"/>
          <w:u w:val="single"/>
          <w:lang w:eastAsia="pl-PL"/>
        </w:rPr>
        <w:t>2) w województwie lubuskim: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krośnieńskim - gmina Dąbie i gmina Krosno Odrzańskie,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nowosolskim - gmina Bytom Odrzański, gmina Kolsko, gmina miejska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eastAsia="Times New Roman" w:cs="Arial"/>
          <w:sz w:val="18"/>
          <w:szCs w:val="18"/>
          <w:lang w:eastAsia="pl-PL"/>
        </w:rPr>
        <w:lastRenderedPageBreak/>
        <w:t>Nowa Sól, gmina wiejska Nowa Sól, gmina Otyń i gmina Siedlisko,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słubickim - gmina Cybinka i gmina Słubice,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w powiecie wschowskim - gmina Szlichtyngowa,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e) w powiecie zielonogórskim - gmina Bojadła, gmina Czerwieńsk, gmina</w:t>
      </w:r>
      <w:r w:rsidRPr="00235ED0">
        <w:rPr>
          <w:rFonts w:eastAsia="Times New Roman" w:cs="Arial"/>
          <w:sz w:val="18"/>
          <w:szCs w:val="18"/>
          <w:lang w:eastAsia="pl-PL"/>
        </w:rPr>
        <w:br/>
        <w:t>Nowogród Bobrzański, gmina Sulechów, gmina Trzebiechów i gmina Zabór,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f) w powiecie żagańskim - gmina miejsko-wiejska Szprotawa i gmina wiejska</w:t>
      </w:r>
      <w:r w:rsidRPr="00235ED0">
        <w:rPr>
          <w:rFonts w:eastAsia="Times New Roman" w:cs="Arial"/>
          <w:sz w:val="18"/>
          <w:szCs w:val="18"/>
          <w:lang w:eastAsia="pl-PL"/>
        </w:rPr>
        <w:br/>
        <w:t xml:space="preserve">Żagań oraz </w:t>
      </w:r>
      <w:r w:rsidR="00727E48">
        <w:rPr>
          <w:rFonts w:eastAsia="Times New Roman" w:cs="Arial"/>
          <w:sz w:val="18"/>
          <w:szCs w:val="18"/>
          <w:lang w:eastAsia="pl-PL"/>
        </w:rPr>
        <w:t>miasto Małomice i miasto Żagań;</w:t>
      </w:r>
    </w:p>
    <w:p w:rsidR="00803C7C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727E48">
        <w:rPr>
          <w:rFonts w:eastAsia="Times New Roman" w:cs="Arial"/>
          <w:sz w:val="18"/>
          <w:szCs w:val="18"/>
          <w:u w:val="single"/>
          <w:lang w:eastAsia="pl-PL"/>
        </w:rPr>
        <w:t>3) w województwie opolskim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- wszystkie gminy położone na terenie powiatów brzeskiego,</w:t>
      </w:r>
      <w:r w:rsidRPr="00235ED0">
        <w:rPr>
          <w:rFonts w:eastAsia="Times New Roman" w:cs="Arial"/>
          <w:sz w:val="18"/>
          <w:szCs w:val="18"/>
          <w:lang w:eastAsia="pl-PL"/>
        </w:rPr>
        <w:br/>
        <w:t>głubczyckiego, kędzierzyńsko-kozielskiego, krapkowickiego, nyskiego, opolskiego i</w:t>
      </w:r>
      <w:r w:rsidRPr="00235ED0">
        <w:rPr>
          <w:rFonts w:eastAsia="Times New Roman" w:cs="Arial"/>
          <w:sz w:val="18"/>
          <w:szCs w:val="18"/>
          <w:lang w:eastAsia="pl-PL"/>
        </w:rPr>
        <w:br/>
        <w:t>prudnickiego</w:t>
      </w:r>
      <w:r w:rsidR="00727E48">
        <w:rPr>
          <w:rFonts w:eastAsia="Times New Roman" w:cs="Arial"/>
          <w:sz w:val="18"/>
          <w:szCs w:val="18"/>
          <w:lang w:eastAsia="pl-PL"/>
        </w:rPr>
        <w:t>;</w:t>
      </w:r>
    </w:p>
    <w:p w:rsidR="00803C7C" w:rsidRDefault="00235ED0" w:rsidP="00E0739F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727E48">
        <w:rPr>
          <w:rFonts w:eastAsia="Times New Roman" w:cs="Arial"/>
          <w:sz w:val="18"/>
          <w:szCs w:val="18"/>
          <w:u w:val="single"/>
          <w:lang w:eastAsia="pl-PL"/>
        </w:rPr>
        <w:t>4) w województwie śląskim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- wszystkie gminy położone na terenie powiatów bielskiego,</w:t>
      </w:r>
      <w:r w:rsidR="00803C7C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cieszyńskiego, pszczyńskiego i raciborskiego oraz miasto na prawach powiatu Bielsko-Biała.</w:t>
      </w:r>
    </w:p>
    <w:p w:rsidR="00803C7C" w:rsidRDefault="00803C7C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235ED0" w:rsidRDefault="00235ED0" w:rsidP="00D84C5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Warunkiem skorzystania ze środków priorytetu jest prowadzenie działalności na terenie</w:t>
      </w:r>
      <w:r w:rsidR="00D84C5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którejkolwiek z gmin z wykazu oraz oświadczenie pracodawcy o konieczności nabycia nowych</w:t>
      </w:r>
      <w:r w:rsidR="00D84C5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umiejętności czy kwalifikacji w związku z rozszerzeniem/ przekwalifikowaniem obszaru</w:t>
      </w:r>
      <w:r w:rsidR="00D84C5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działalności firmy z powołaniem się na odpowiedni przepis</w:t>
      </w:r>
      <w:r w:rsidR="00D84C51">
        <w:rPr>
          <w:rFonts w:eastAsia="Times New Roman" w:cs="Arial"/>
          <w:sz w:val="18"/>
          <w:szCs w:val="18"/>
          <w:lang w:eastAsia="pl-PL"/>
        </w:rPr>
        <w:t>.</w:t>
      </w:r>
    </w:p>
    <w:p w:rsidR="00D84C51" w:rsidRPr="00956E5B" w:rsidRDefault="00D84C51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F2083E" w:rsidRPr="00F2083E" w:rsidRDefault="00235ED0" w:rsidP="00956E5B">
      <w:pPr>
        <w:spacing w:after="0" w:line="220" w:lineRule="atLeast"/>
        <w:rPr>
          <w:rFonts w:eastAsia="Times New Roman" w:cs="Arial"/>
          <w:b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4</w:t>
      </w:r>
    </w:p>
    <w:p w:rsidR="00F2083E" w:rsidRPr="00F2083E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Poprawa zarządzania i komunikacji w firmie w oparciu o zasady</w:t>
      </w:r>
      <w:r w:rsidR="00F2083E" w:rsidRPr="00F2083E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przeciwdziałania dyskryminacji i </w:t>
      </w:r>
      <w:proofErr w:type="spellStart"/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mobbingowi</w:t>
      </w:r>
      <w:proofErr w:type="spellEnd"/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, rozwoju dialogu społecznego,</w:t>
      </w:r>
      <w:r w:rsidR="00F2083E" w:rsidRPr="00F2083E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partycypacji pracowniczej i wspierania integracji w miejscu pracy</w:t>
      </w:r>
    </w:p>
    <w:p w:rsidR="00E0739F" w:rsidRDefault="00235ED0" w:rsidP="00E0739F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Mobbing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 xml:space="preserve"> i dyskryminacja to jedno z najpoważniejszych zagrożeń spotykanych w wielu firmach.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="00F2083E">
        <w:rPr>
          <w:rFonts w:eastAsia="Times New Roman" w:cs="Arial"/>
          <w:sz w:val="18"/>
          <w:szCs w:val="18"/>
          <w:lang w:eastAsia="pl-PL"/>
        </w:rPr>
        <w:t>K</w:t>
      </w:r>
      <w:r w:rsidRPr="00235ED0">
        <w:rPr>
          <w:rFonts w:eastAsia="Times New Roman" w:cs="Arial"/>
          <w:sz w:val="18"/>
          <w:szCs w:val="18"/>
          <w:lang w:eastAsia="pl-PL"/>
        </w:rPr>
        <w:t>reowanie bezpiecznego i wspierającego środowiska pracy jest kluczową rolą</w:t>
      </w:r>
      <w:r w:rsidR="00F2083E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pracodawców, sprzyja efektywności pracowników. </w:t>
      </w:r>
      <w:r w:rsidR="00E0739F">
        <w:rPr>
          <w:rFonts w:eastAsia="Times New Roman" w:cs="Arial"/>
          <w:sz w:val="18"/>
          <w:szCs w:val="18"/>
          <w:lang w:eastAsia="pl-PL"/>
        </w:rPr>
        <w:t>D</w:t>
      </w:r>
      <w:r w:rsidRPr="00235ED0">
        <w:rPr>
          <w:rFonts w:eastAsia="Times New Roman" w:cs="Arial"/>
          <w:sz w:val="18"/>
          <w:szCs w:val="18"/>
          <w:lang w:eastAsia="pl-PL"/>
        </w:rPr>
        <w:t>ialog społeczny stanowi bardzo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ważną funkcję w zapobieganiu tym zjawiskom. Poprzez współpracę między pracodawcami,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pracownikami i związkami zawodowymi możliwe jest wykształcenie umiejętności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identyfikowania oraz reagowania na </w:t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mobbing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 xml:space="preserve"> i dyskryminację na każdym szczeblu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organizacyjnym, co przyczynia się do budowania kultur organizacyjnych opartych na szacunku i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równości.</w:t>
      </w:r>
    </w:p>
    <w:p w:rsidR="00E0739F" w:rsidRDefault="00235ED0" w:rsidP="00E0739F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Szkolenia powinny zatem zawierać tematykę, w ramach której pracodawcy i pracownicy zostaną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wyposażeni w wiedzę </w:t>
      </w:r>
      <w:r w:rsidR="00E0739F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eastAsia="Times New Roman" w:cs="Arial"/>
          <w:sz w:val="18"/>
          <w:szCs w:val="18"/>
          <w:lang w:eastAsia="pl-PL"/>
        </w:rPr>
        <w:t>i umiejętności m.in.:</w:t>
      </w:r>
    </w:p>
    <w:p w:rsidR="00E0739F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do rozpoznawania, rozumienia i przeciwdziałania </w:t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mobbingowi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 xml:space="preserve"> w miejscu pracy, co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zwiększy ich uważność na sposób komunikacji i budowania relacji w ich zespołach,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dotyczące różnych formy </w:t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mobbingu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>, jak zrozumieć jego wpływ na zespół oraz jak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skutecznie reagować i zapobiegać sytuacjom o charakterze </w:t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mobbingu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 xml:space="preserve"> w przyszłości,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rozpoznawania/uważności (szczególnie menedżerowie/pracodawcy) na zachowania i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relacje w zespołach.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do promowania bezpiecznego i wspierającego środowiska pracy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na temat skutków społecznych i prawnych </w:t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mobbingu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 xml:space="preserve"> lub dyskryminacji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dotyczące wdrażania procedur przeciwdziałania i reagowania na przypadki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nieprawidłowości.</w:t>
      </w:r>
    </w:p>
    <w:p w:rsidR="00E0739F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Szkolenia tego typu mają na celu wzmocnienie umiejętności zarządzania, poprawę komunikacji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wewnętrznej oraz stworzenie środowiska opartego na równości, integracji i zaangażowaniu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pracowników. Realizacja tych celów wpływa na budowanie kultury organizacyjnej, która</w:t>
      </w:r>
      <w:r w:rsidR="00E0739F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sprzyja efe</w:t>
      </w:r>
      <w:r w:rsidR="00E0739F">
        <w:rPr>
          <w:rFonts w:eastAsia="Times New Roman" w:cs="Arial"/>
          <w:sz w:val="18"/>
          <w:szCs w:val="18"/>
          <w:lang w:eastAsia="pl-PL"/>
        </w:rPr>
        <w:t>ktywności i zadowoleniu zespołu.</w:t>
      </w:r>
    </w:p>
    <w:p w:rsidR="008B0778" w:rsidRDefault="00235ED0" w:rsidP="008B0778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Priorytet ten ma również zachęcać do tworzenia i oferuje wsparcie w zakresie zasad</w:t>
      </w:r>
      <w:r w:rsidR="008B077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funkcjonowania i działania rad pracowniczych – na poziomie unijnym i poszczególnych krajów</w:t>
      </w:r>
      <w:r w:rsidR="008B077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UE. </w:t>
      </w:r>
    </w:p>
    <w:p w:rsidR="00CA0016" w:rsidRPr="00956E5B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</w:r>
    </w:p>
    <w:p w:rsidR="00902D59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5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902D59" w:rsidRPr="00902D59" w:rsidRDefault="00235ED0" w:rsidP="00902D59">
      <w:pPr>
        <w:spacing w:after="0" w:line="220" w:lineRule="atLeast"/>
        <w:jc w:val="both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Promowanie i wspieranie zdrowia psychicznego oraz tworzenie</w:t>
      </w:r>
      <w:r w:rsidR="00902D59" w:rsidRPr="00902D59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przyjaznych środowisk pracy poprzez m.in. szkolenia </w:t>
      </w:r>
      <w:r w:rsidR="00902D59">
        <w:rPr>
          <w:rFonts w:eastAsia="Times New Roman" w:cs="Arial"/>
          <w:i/>
          <w:sz w:val="18"/>
          <w:szCs w:val="18"/>
          <w:u w:val="single"/>
          <w:lang w:eastAsia="pl-PL"/>
        </w:rPr>
        <w:br/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z zakresu zarządzania wiekiem,</w:t>
      </w:r>
      <w:r w:rsidR="00902D59" w:rsidRPr="00902D59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radzenia sobie ze stresem, pozytywnej psychologii, dobrostanu psychicznego </w:t>
      </w:r>
      <w:r w:rsidR="00902D59">
        <w:rPr>
          <w:rFonts w:eastAsia="Times New Roman" w:cs="Arial"/>
          <w:i/>
          <w:sz w:val="18"/>
          <w:szCs w:val="18"/>
          <w:u w:val="single"/>
          <w:lang w:eastAsia="pl-PL"/>
        </w:rPr>
        <w:br/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oraz</w:t>
      </w:r>
      <w:r w:rsidR="00902D59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budowania zdrowej i różnorodnej kultury organizacyjnej</w:t>
      </w:r>
    </w:p>
    <w:p w:rsidR="001834EF" w:rsidRDefault="00235ED0" w:rsidP="001834EF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Zdrowie psychiczne jest tak samo ważne, jak zdrowie fizyczne. Oba te aspekty życia wzajemnie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się dopełniają. Zadbanie o swój dobrostan (i swoich pracowników), zapobieganie wypaleniu zawodowemu,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rozładowywanie nadmiernych napięć </w:t>
      </w:r>
      <w:r w:rsidRPr="00235ED0">
        <w:rPr>
          <w:rFonts w:eastAsia="Times New Roman" w:cs="Arial"/>
          <w:sz w:val="18"/>
          <w:szCs w:val="18"/>
          <w:lang w:eastAsia="pl-PL"/>
        </w:rPr>
        <w:lastRenderedPageBreak/>
        <w:t>pozwala minimalizować rozwinięcie choroby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psychicznej, dlatego tak ważna jest higiena zdrowia psychicznego, którą należy utrzymywać na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co dzień.</w:t>
      </w:r>
    </w:p>
    <w:p w:rsidR="00871341" w:rsidRDefault="00235ED0" w:rsidP="001834EF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Priorytet adresowany do wszystkich pracodawców, bez względu na rodzaj i obszar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prowadzonej działalności, w ramach którego można przeszkolić każdego pracownika czy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pracodawcę bez względu na wykonywaną pracę. </w:t>
      </w:r>
      <w:r w:rsidRPr="00235ED0">
        <w:rPr>
          <w:rFonts w:eastAsia="Times New Roman" w:cs="Arial"/>
          <w:sz w:val="18"/>
          <w:szCs w:val="18"/>
          <w:lang w:eastAsia="pl-PL"/>
        </w:rPr>
        <w:br/>
        <w:t>Priorytet ten oferuje wsparcie w zakresie poprawy bardzo szeroko pojętego zdrowia</w:t>
      </w:r>
      <w:r w:rsidR="00CA0016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psychicznego w tym również szkolenia z zakresu działań go wspierających np. organizacji pracy</w:t>
      </w:r>
      <w:r w:rsidR="00871341">
        <w:rPr>
          <w:rFonts w:eastAsia="Times New Roman" w:cs="Arial"/>
          <w:sz w:val="18"/>
          <w:szCs w:val="18"/>
          <w:lang w:eastAsia="pl-PL"/>
        </w:rPr>
        <w:t>.</w:t>
      </w:r>
    </w:p>
    <w:p w:rsidR="00871341" w:rsidRDefault="00235ED0" w:rsidP="00305FFD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Szkolenia dotyczące promowania i wspierania zdrowia psychicznego oraz tworzenia</w:t>
      </w:r>
      <w:r w:rsidR="0087134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przyjaznych środowisk pracy powinny obejmować szeroki zakres tematów, które pomagają</w:t>
      </w:r>
      <w:r w:rsidR="0087134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zarówno menedżerom, jak i pracownikom tworzyć zdrowe, wspierające i produktywne miejsca</w:t>
      </w:r>
      <w:r w:rsidR="00871341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pracy.</w:t>
      </w:r>
    </w:p>
    <w:p w:rsidR="00235ED0" w:rsidRPr="00956E5B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B60755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6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B60755" w:rsidRPr="00B60755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Wsparcie cudzoziemców, w szczególności w zakresie zdobywania</w:t>
      </w:r>
      <w:r w:rsidR="00B60755" w:rsidRPr="00B60755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wiedzy na temat polskiego prawa pracy i integracji tych osób na rynku pracy</w:t>
      </w:r>
    </w:p>
    <w:p w:rsidR="001706F8" w:rsidRDefault="00235ED0" w:rsidP="001706F8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W ramach tego priorytetu mogą być finansowane szkolenia tylko dla cudzoziemców.</w:t>
      </w:r>
    </w:p>
    <w:p w:rsidR="001706F8" w:rsidRDefault="00235ED0" w:rsidP="001706F8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Zdecydowano o rezygnacji z zezwolenia na dostęp dla polskich pracowników (to samo dotyczy</w:t>
      </w:r>
      <w:r w:rsidR="001706F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pracodawców), aby środki tego priorytetu skierować tylko na potrzeby pracowników</w:t>
      </w:r>
      <w:r w:rsidR="001706F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cudzoziemców. Wśród specyficznych potrzeb pracowników cudzoziemskich wskazać można w szczególności:</w:t>
      </w:r>
    </w:p>
    <w:p w:rsidR="00E862CE" w:rsidRDefault="00235ED0" w:rsidP="00E862CE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doskonalenie znajomości języka polskiego oraz innych niezbędnych do pracy</w:t>
      </w:r>
      <w:r w:rsidR="001706F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języków, szczególnie w kontekście słownictwa specyficznego dla danego zawodu/ branży;</w:t>
      </w:r>
    </w:p>
    <w:p w:rsidR="00E862CE" w:rsidRDefault="00235ED0" w:rsidP="00E862CE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doskonalenie wiedzy z zakresu specyfiki polskich i unijnych regulacji</w:t>
      </w:r>
      <w:r w:rsidR="001706F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dotyczących wykonywania określonego zawodu;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rozwój miękkich kompetencji, w tym komunikacyjnych, uwzględniających</w:t>
      </w:r>
      <w:r w:rsidR="001706F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konieczność dostosowania się do kultury organizacyjnej polskich</w:t>
      </w:r>
      <w:r w:rsidR="001706F8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przedsiębiorstw i innych podmiotó</w:t>
      </w:r>
      <w:r w:rsidR="00E862CE">
        <w:rPr>
          <w:rFonts w:eastAsia="Times New Roman" w:cs="Arial"/>
          <w:sz w:val="18"/>
          <w:szCs w:val="18"/>
          <w:lang w:eastAsia="pl-PL"/>
        </w:rPr>
        <w:t>w, zatrudniających cudzoziemców.</w:t>
      </w:r>
    </w:p>
    <w:p w:rsidR="00E862CE" w:rsidRDefault="001706F8" w:rsidP="00E862CE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P</w:t>
      </w:r>
      <w:r w:rsidR="00235ED0" w:rsidRPr="00235ED0">
        <w:rPr>
          <w:rFonts w:eastAsia="Times New Roman" w:cs="Arial"/>
          <w:sz w:val="18"/>
          <w:szCs w:val="18"/>
          <w:lang w:eastAsia="pl-PL"/>
        </w:rPr>
        <w:t>owyższa lista nie jest katalogiem zamkniętym i każdy pracodawca może</w:t>
      </w:r>
      <w:r>
        <w:rPr>
          <w:rFonts w:eastAsia="Times New Roman" w:cs="Arial"/>
          <w:sz w:val="18"/>
          <w:szCs w:val="18"/>
          <w:lang w:eastAsia="pl-PL"/>
        </w:rPr>
        <w:t xml:space="preserve"> </w:t>
      </w:r>
      <w:r w:rsidR="00235ED0" w:rsidRPr="00235ED0">
        <w:rPr>
          <w:rFonts w:eastAsia="Times New Roman" w:cs="Arial"/>
          <w:sz w:val="18"/>
          <w:szCs w:val="18"/>
          <w:lang w:eastAsia="pl-PL"/>
        </w:rPr>
        <w:t>określić własną listę potrzeb.</w:t>
      </w:r>
    </w:p>
    <w:p w:rsidR="00E862CE" w:rsidRPr="00956E5B" w:rsidRDefault="00E862CE" w:rsidP="00E862CE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</w:p>
    <w:p w:rsidR="00E862CE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7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E862CE" w:rsidRPr="00D3207D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Wsparcie rozwoju umiejętności i kwalifikacji niezbędnych w sektorze</w:t>
      </w:r>
      <w:r w:rsidR="00D3207D" w:rsidRPr="00D3207D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usług zdrowotnych i opiekuńczych</w:t>
      </w:r>
    </w:p>
    <w:p w:rsidR="00D3207D" w:rsidRDefault="00235ED0" w:rsidP="00D03E63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Zgodnie z ustawą z dnia 15 kwietnia 2011 r. o działalności leczniczej (</w:t>
      </w:r>
      <w:proofErr w:type="spellStart"/>
      <w:r w:rsidRPr="00235ED0">
        <w:rPr>
          <w:rFonts w:eastAsia="Times New Roman" w:cs="Arial"/>
          <w:sz w:val="18"/>
          <w:szCs w:val="18"/>
          <w:lang w:eastAsia="pl-PL"/>
        </w:rPr>
        <w:t>t.j</w:t>
      </w:r>
      <w:proofErr w:type="spellEnd"/>
      <w:r w:rsidRPr="00235ED0">
        <w:rPr>
          <w:rFonts w:eastAsia="Times New Roman" w:cs="Arial"/>
          <w:sz w:val="18"/>
          <w:szCs w:val="18"/>
          <w:lang w:eastAsia="pl-PL"/>
        </w:rPr>
        <w:t>. Dz.U. z 2024 r., poz.799) świadczeniami zdrowotnymi są działania służące zachowaniu, ratowaniu, przywracaniu</w:t>
      </w:r>
      <w:r w:rsidR="00D3207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lub poprawie zdrowia oraz inne działania medyczne wynikające z procesu leczenia. Udzielanie</w:t>
      </w:r>
      <w:r w:rsidR="00D3207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świadczeń zdrowotnych odbywa się w ramach działalności leczniczej. </w:t>
      </w:r>
      <w:r w:rsidRPr="00235ED0">
        <w:rPr>
          <w:rFonts w:eastAsia="Times New Roman" w:cs="Arial"/>
          <w:sz w:val="18"/>
          <w:szCs w:val="18"/>
          <w:lang w:eastAsia="pl-PL"/>
        </w:rPr>
        <w:br/>
        <w:t>Warunkiem skorzystania z dostępnych środków jest oświadczenie pracodawcy o konieczności</w:t>
      </w:r>
      <w:r w:rsidR="00D3207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odbycia wnioskowanego szkolenia lub nabycia określonych umiejętności z zakresu usług</w:t>
      </w:r>
      <w:r w:rsidR="00D3207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zdrowotnych i opiekuńczych. </w:t>
      </w:r>
    </w:p>
    <w:p w:rsidR="008F3D3D" w:rsidRDefault="00235ED0" w:rsidP="008F3D3D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Dostęp do priorytetu ma każdy pracodawca posiadający PKD w</w:t>
      </w:r>
      <w:r w:rsidR="008F3D3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Sekcji Q tj. Opiek</w:t>
      </w:r>
      <w:r w:rsidR="008F3D3D">
        <w:rPr>
          <w:rFonts w:eastAsia="Times New Roman" w:cs="Arial"/>
          <w:sz w:val="18"/>
          <w:szCs w:val="18"/>
          <w:lang w:eastAsia="pl-PL"/>
        </w:rPr>
        <w:t xml:space="preserve">a zdrowotna i pomoc społeczna w </w:t>
      </w:r>
      <w:r w:rsidRPr="00235ED0">
        <w:rPr>
          <w:rFonts w:eastAsia="Times New Roman" w:cs="Arial"/>
          <w:sz w:val="18"/>
          <w:szCs w:val="18"/>
          <w:lang w:eastAsia="pl-PL"/>
        </w:rPr>
        <w:t>działach</w:t>
      </w:r>
      <w:r w:rsidR="008F3D3D">
        <w:rPr>
          <w:rFonts w:eastAsia="Times New Roman" w:cs="Arial"/>
          <w:sz w:val="18"/>
          <w:szCs w:val="18"/>
          <w:lang w:eastAsia="pl-PL"/>
        </w:rPr>
        <w:t>:</w:t>
      </w:r>
    </w:p>
    <w:p w:rsidR="008F3D3D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 xml:space="preserve">86 – Opieka zdrowotna, </w:t>
      </w:r>
    </w:p>
    <w:p w:rsidR="008F3D3D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 xml:space="preserve">87-Pomoc społeczna z zakwaterowaniem, </w:t>
      </w:r>
    </w:p>
    <w:p w:rsidR="008F3D3D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 xml:space="preserve">88 – Pomoc społeczna bez zakwaterowania. </w:t>
      </w:r>
    </w:p>
    <w:p w:rsidR="008F3D3D" w:rsidRDefault="00235ED0" w:rsidP="008F3D3D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W ramach</w:t>
      </w:r>
      <w:r w:rsidR="008F3D3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tego priorytetu można dofinansować dopuszczalne ustawą formy kształcenia ustawicznego</w:t>
      </w:r>
      <w:r w:rsidR="008F3D3D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bezpośrednio związane z szeroko pojętą opieką zdrowotną czy opieką społeczną. </w:t>
      </w:r>
    </w:p>
    <w:p w:rsidR="000D20F5" w:rsidRPr="008F3D3D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sz w:val="18"/>
          <w:szCs w:val="18"/>
          <w:u w:val="single"/>
          <w:lang w:eastAsia="pl-PL"/>
        </w:rPr>
        <w:t>Należy</w:t>
      </w:r>
      <w:r w:rsidR="008F3D3D" w:rsidRPr="008F3D3D">
        <w:rPr>
          <w:rFonts w:eastAsia="Times New Roman" w:cs="Arial"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u w:val="single"/>
          <w:lang w:eastAsia="pl-PL"/>
        </w:rPr>
        <w:t>jednak pamiętać, że w ramach KFS nie można finansować tych samych szkoleń, na które</w:t>
      </w:r>
      <w:r w:rsidR="008F3D3D" w:rsidRPr="008F3D3D">
        <w:rPr>
          <w:rFonts w:eastAsia="Times New Roman" w:cs="Arial"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u w:val="single"/>
          <w:lang w:eastAsia="pl-PL"/>
        </w:rPr>
        <w:t>przeznaczone są inne środki publiczne np. środki na specjalizacje pielęgniarek i położnych.</w:t>
      </w:r>
      <w:r w:rsidRPr="00235ED0">
        <w:rPr>
          <w:rFonts w:eastAsia="Times New Roman" w:cs="Arial"/>
          <w:sz w:val="18"/>
          <w:szCs w:val="18"/>
          <w:u w:val="single"/>
          <w:lang w:eastAsia="pl-PL"/>
        </w:rPr>
        <w:br/>
      </w:r>
    </w:p>
    <w:p w:rsidR="000D20F5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8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0D20F5" w:rsidRPr="000D20F5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Rozwój umiejętności cyfrowych </w:t>
      </w:r>
    </w:p>
    <w:p w:rsidR="000D20F5" w:rsidRDefault="000D20F5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0D20F5" w:rsidRDefault="00235ED0" w:rsidP="00193875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Składając stosowny wniosek o dofinansowanie podnoszenia kompetencji cyfrowych</w:t>
      </w:r>
      <w:r w:rsidR="000D20F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Wnioskodawca w uzasadnieniu powinien wykazać, że posiadanie konkretnych umiejętności</w:t>
      </w:r>
      <w:r w:rsidR="000D20F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cyfrowych, które objęte są tematyką wnioskowanego szkolenia, jest powiązane z pracą</w:t>
      </w:r>
      <w:r w:rsidR="000D20F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wykonywaną przez osobę kierowaną na szkolenie.</w:t>
      </w:r>
    </w:p>
    <w:p w:rsidR="00235ED0" w:rsidRPr="00956E5B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235ED0" w:rsidRPr="00956E5B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193875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9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193875" w:rsidRPr="00193875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Wsparcie rozwoju umiejętności związanych z transformacją</w:t>
      </w:r>
      <w:r w:rsidR="00193875" w:rsidRPr="00193875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energetyczną</w:t>
      </w:r>
    </w:p>
    <w:p w:rsidR="00FE54C5" w:rsidRDefault="00FE54C5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.</w:t>
      </w:r>
    </w:p>
    <w:p w:rsidR="00FE54C5" w:rsidRDefault="00235ED0" w:rsidP="00FE54C5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>Celem transformacji energetycznej jest zmniejszenie szkód dla</w:t>
      </w:r>
      <w:r w:rsidR="00FE54C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klimatu, zdrowia publicznego i środowiska naturalnego.</w:t>
      </w:r>
      <w:r w:rsidRPr="00235ED0">
        <w:rPr>
          <w:rFonts w:eastAsia="Times New Roman" w:cs="Arial"/>
          <w:sz w:val="18"/>
          <w:szCs w:val="18"/>
          <w:lang w:eastAsia="pl-PL"/>
        </w:rPr>
        <w:br/>
        <w:t>W Polsce ma oznaczać ona rozwój i przebudowę polskiej energetyki zgodnie z celami polityki</w:t>
      </w:r>
      <w:r w:rsidR="00FE54C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klimatyczno-energetycznej.</w:t>
      </w:r>
    </w:p>
    <w:p w:rsidR="00FE54C5" w:rsidRDefault="00235ED0" w:rsidP="00FE54C5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t xml:space="preserve"> Przyjęto, że ma opierać się na trzech filarach:</w:t>
      </w:r>
    </w:p>
    <w:p w:rsidR="00FE54C5" w:rsidRDefault="00235ED0" w:rsidP="00FE54C5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lastRenderedPageBreak/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dekarbonizacja – czyli redukcja emisji gazów cieplarnianych i rozwój OZE,</w:t>
      </w:r>
    </w:p>
    <w:p w:rsidR="00CC26F3" w:rsidRDefault="00235ED0" w:rsidP="00FE54C5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decentralizacja – dotyczy odejścia od dużych elektrowni na rzecz rozproszonych</w:t>
      </w:r>
      <w:r w:rsidR="00FE54C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odnawialnych źródeł energii o mniejszej mocy,</w:t>
      </w: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ascii="Segoe UI Symbol" w:eastAsia="Times New Roman" w:hAnsi="Segoe UI Symbol" w:cs="Segoe UI Symbol"/>
          <w:sz w:val="18"/>
          <w:szCs w:val="18"/>
          <w:lang w:eastAsia="pl-PL"/>
        </w:rPr>
        <w:t>✓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digitalizacja – to postawienie na infrastrukturę informatyczną, dzięki której możliwe</w:t>
      </w:r>
      <w:r w:rsidR="00FE54C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będzie np. wprowadzenie taryf dynamicznych (czyli takich, w których końcowa opłata za</w:t>
      </w:r>
      <w:r w:rsidR="00FE54C5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energię jest bezpośrednio powiązana z bieżącymi cenami na hurtowym rynku energii).</w:t>
      </w:r>
    </w:p>
    <w:p w:rsidR="00CC26F3" w:rsidRDefault="00235ED0" w:rsidP="00FE54C5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  <w:t>Priorytet niniejszy adresowany jest do wszystkich pracodawców, którzy w jakikolwiek sposób</w:t>
      </w:r>
      <w:r w:rsidR="00CC26F3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chcą przyczynić się do realizacji założonych celów transformacji energetycznej np. przejścia z</w:t>
      </w:r>
      <w:r w:rsidR="00CC26F3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energetyki tradycyjnej, na przykład węglowej, do bardziej przyjaznych środowisku źródeł</w:t>
      </w:r>
      <w:r w:rsidR="00CC26F3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energii np. wiatraków czy farm fotowoltaicznych. Będą również mogły być finansowane</w:t>
      </w:r>
      <w:r w:rsidR="00CC26F3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szkolenia mające na celu rozwój tzw. zielonych kompetencji czyli zestawu umiejętności</w:t>
      </w:r>
      <w:r w:rsidR="00CC26F3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pozwalających na działania na rzecz zrównoważonego rozwoju. W ramach tego priorytetu</w:t>
      </w:r>
      <w:r w:rsidR="00CC26F3">
        <w:rPr>
          <w:rFonts w:eastAsia="Times New Roman" w:cs="Arial"/>
          <w:sz w:val="18"/>
          <w:szCs w:val="18"/>
          <w:lang w:eastAsia="pl-PL"/>
        </w:rPr>
        <w:t xml:space="preserve"> </w:t>
      </w:r>
      <w:r w:rsidRPr="00235ED0">
        <w:rPr>
          <w:rFonts w:eastAsia="Times New Roman" w:cs="Arial"/>
          <w:sz w:val="18"/>
          <w:szCs w:val="18"/>
          <w:lang w:eastAsia="pl-PL"/>
        </w:rPr>
        <w:t>mogą być finansowane również szkolenia w obszarze szeroko pojętej ekologii.</w:t>
      </w:r>
    </w:p>
    <w:p w:rsidR="00CC26F3" w:rsidRDefault="00CC26F3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235ED0" w:rsidRPr="00CE493F" w:rsidRDefault="00235ED0" w:rsidP="00956E5B">
      <w:pPr>
        <w:spacing w:after="0" w:line="220" w:lineRule="atLeast"/>
        <w:rPr>
          <w:rFonts w:eastAsia="Times New Roman" w:cs="Arial"/>
          <w:b/>
          <w:sz w:val="18"/>
          <w:szCs w:val="18"/>
          <w:lang w:eastAsia="pl-PL"/>
        </w:rPr>
      </w:pPr>
      <w:r w:rsidRPr="00235ED0">
        <w:rPr>
          <w:rFonts w:eastAsia="Times New Roman" w:cs="Arial"/>
          <w:sz w:val="18"/>
          <w:szCs w:val="18"/>
          <w:lang w:eastAsia="pl-PL"/>
        </w:rPr>
        <w:br/>
      </w:r>
      <w:r w:rsidRPr="00235ED0">
        <w:rPr>
          <w:rFonts w:eastAsia="Times New Roman" w:cs="Arial"/>
          <w:b/>
          <w:sz w:val="18"/>
          <w:szCs w:val="18"/>
          <w:lang w:eastAsia="pl-PL"/>
        </w:rPr>
        <w:t>PRIORYTETY RADY RYNKU PRACY WYDATKOWANIA REZERWY KFS</w:t>
      </w:r>
      <w:r w:rsidRPr="00235ED0">
        <w:rPr>
          <w:rFonts w:eastAsia="Times New Roman" w:cs="Arial"/>
          <w:b/>
          <w:sz w:val="18"/>
          <w:szCs w:val="18"/>
          <w:lang w:eastAsia="pl-PL"/>
        </w:rPr>
        <w:br/>
      </w:r>
    </w:p>
    <w:p w:rsidR="00592A06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235ED0">
        <w:rPr>
          <w:rFonts w:eastAsia="Times New Roman" w:cs="Arial"/>
          <w:b/>
          <w:sz w:val="18"/>
          <w:szCs w:val="18"/>
          <w:lang w:eastAsia="pl-PL"/>
        </w:rPr>
        <w:t>Priorytet nr 10</w:t>
      </w:r>
      <w:r w:rsidRPr="00235ED0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235ED0" w:rsidRPr="00235ED0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235ED0">
        <w:rPr>
          <w:rFonts w:eastAsia="Times New Roman" w:cs="Arial"/>
          <w:i/>
          <w:sz w:val="18"/>
          <w:szCs w:val="18"/>
          <w:u w:val="single"/>
          <w:lang w:eastAsia="pl-PL"/>
        </w:rPr>
        <w:t>Wsparcie kształcenia ustawicznego osób po 50 roku życia.</w:t>
      </w:r>
    </w:p>
    <w:p w:rsidR="00592A06" w:rsidRDefault="00235ED0" w:rsidP="00592A06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956E5B">
        <w:rPr>
          <w:rFonts w:eastAsia="Times New Roman" w:cs="Arial"/>
          <w:sz w:val="18"/>
          <w:szCs w:val="18"/>
          <w:lang w:eastAsia="pl-PL"/>
        </w:rPr>
        <w:br/>
        <w:t>W ramach niniejszego priorytetu środki KFS będą mogły sfinansować kształcenie ustawiczne</w:t>
      </w:r>
      <w:r w:rsidR="00592A06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>osób wyłącznie w wieku powyżej 50 roku życia (zarówno pracodawców jak i pracowników).</w:t>
      </w:r>
    </w:p>
    <w:p w:rsidR="00592A06" w:rsidRDefault="00235ED0" w:rsidP="00592A06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956E5B">
        <w:rPr>
          <w:rFonts w:eastAsia="Times New Roman" w:cs="Arial"/>
          <w:sz w:val="18"/>
          <w:szCs w:val="18"/>
          <w:lang w:eastAsia="pl-PL"/>
        </w:rPr>
        <w:t>Decyduje wiek osoby, która skorzysta z wybranej formy kształcenia ustawicznego,</w:t>
      </w:r>
      <w:r w:rsidR="00592A06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>w momencie składania przez pracodawcę wniosku o dofinansowanie w PUP.</w:t>
      </w:r>
    </w:p>
    <w:p w:rsidR="00235ED0" w:rsidRPr="00956E5B" w:rsidRDefault="00235ED0" w:rsidP="00CE493F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</w:p>
    <w:p w:rsidR="00714B31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714B31">
        <w:rPr>
          <w:rFonts w:eastAsia="Times New Roman" w:cs="Arial"/>
          <w:b/>
          <w:sz w:val="18"/>
          <w:szCs w:val="18"/>
          <w:lang w:eastAsia="pl-PL"/>
        </w:rPr>
        <w:t>Priorytet nr 11</w:t>
      </w:r>
      <w:r w:rsidRPr="00956E5B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714B31" w:rsidRPr="00714B31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714B31">
        <w:rPr>
          <w:rFonts w:eastAsia="Times New Roman" w:cs="Arial"/>
          <w:i/>
          <w:sz w:val="18"/>
          <w:szCs w:val="18"/>
          <w:u w:val="single"/>
          <w:lang w:eastAsia="pl-PL"/>
        </w:rPr>
        <w:t>Wsparcie rozwoju umiejętności i kwalifikacji osób z orzeczonym</w:t>
      </w:r>
      <w:r w:rsidR="00714B31" w:rsidRPr="00714B31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stopniem niepełnosprawności</w:t>
      </w:r>
    </w:p>
    <w:p w:rsidR="00235ED0" w:rsidRPr="00956E5B" w:rsidRDefault="00235ED0" w:rsidP="00714B31">
      <w:pPr>
        <w:spacing w:after="0" w:line="220" w:lineRule="atLeast"/>
        <w:jc w:val="both"/>
        <w:rPr>
          <w:rFonts w:eastAsia="Times New Roman" w:cs="Arial"/>
          <w:sz w:val="18"/>
          <w:szCs w:val="18"/>
          <w:lang w:eastAsia="pl-PL"/>
        </w:rPr>
      </w:pPr>
      <w:r w:rsidRPr="00956E5B">
        <w:rPr>
          <w:rFonts w:eastAsia="Times New Roman" w:cs="Arial"/>
          <w:sz w:val="18"/>
          <w:szCs w:val="18"/>
          <w:lang w:eastAsia="pl-PL"/>
        </w:rPr>
        <w:br/>
        <w:t>Wnioskodawca składający wniosek o środki w ramach powyższego priorytetu powinien</w:t>
      </w:r>
      <w:r w:rsidR="00714B31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>udowodnić posiadanie przez kandydata na szkolenie orzeczenia o niepełnosprawności tj.</w:t>
      </w:r>
      <w:r w:rsidR="00714B31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>przedstawić orzeczenie o niepełnosprawności kandydata na szkolenie bądź oświadczenie</w:t>
      </w:r>
      <w:r w:rsidR="00714B31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>o posiadaniu takiego orzeczenia.</w:t>
      </w:r>
    </w:p>
    <w:p w:rsidR="00235ED0" w:rsidRPr="00956E5B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CE493F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CE493F">
        <w:rPr>
          <w:rFonts w:eastAsia="Times New Roman" w:cs="Arial"/>
          <w:b/>
          <w:sz w:val="18"/>
          <w:szCs w:val="18"/>
          <w:lang w:eastAsia="pl-PL"/>
        </w:rPr>
        <w:t>Priorytet nr 12</w:t>
      </w:r>
      <w:r w:rsidRPr="00956E5B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CE493F" w:rsidRPr="00CE493F" w:rsidRDefault="00235ED0" w:rsidP="00956E5B">
      <w:pPr>
        <w:spacing w:after="0" w:line="220" w:lineRule="atLeast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CE493F">
        <w:rPr>
          <w:rFonts w:eastAsia="Times New Roman" w:cs="Arial"/>
          <w:i/>
          <w:sz w:val="18"/>
          <w:szCs w:val="18"/>
          <w:u w:val="single"/>
          <w:lang w:eastAsia="pl-PL"/>
        </w:rPr>
        <w:t>Wsparcie rozwoju umiejętności i kwalifikacji osób z niskim</w:t>
      </w:r>
      <w:r w:rsidR="00CE493F" w:rsidRPr="00CE493F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CE493F">
        <w:rPr>
          <w:rFonts w:eastAsia="Times New Roman" w:cs="Arial"/>
          <w:i/>
          <w:sz w:val="18"/>
          <w:szCs w:val="18"/>
          <w:u w:val="single"/>
          <w:lang w:eastAsia="pl-PL"/>
        </w:rPr>
        <w:t>wykształceniem</w:t>
      </w:r>
    </w:p>
    <w:p w:rsidR="00235ED0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956E5B">
        <w:rPr>
          <w:rFonts w:eastAsia="Times New Roman" w:cs="Arial"/>
          <w:sz w:val="18"/>
          <w:szCs w:val="18"/>
          <w:lang w:eastAsia="pl-PL"/>
        </w:rPr>
        <w:br/>
        <w:t>Ze wsparcia w ramach tego priorytetu mogą skorzystać osoby, które nie mają świadectwa</w:t>
      </w:r>
      <w:r w:rsidR="00C60F83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>dojrzałości, w tym nie ukończyły szkoły na jakimkolwiek poziomie. Jedynym wymogiem jest</w:t>
      </w:r>
      <w:r w:rsidRPr="00956E5B">
        <w:rPr>
          <w:rFonts w:eastAsia="Times New Roman" w:cs="Arial"/>
          <w:sz w:val="18"/>
          <w:szCs w:val="18"/>
          <w:lang w:eastAsia="pl-PL"/>
        </w:rPr>
        <w:br/>
        <w:t>aby wnioskodawca wskazał we wniosku, że pracownik kierowany na wnioskowaną formę</w:t>
      </w:r>
      <w:r w:rsidR="00C60F83">
        <w:rPr>
          <w:rFonts w:eastAsia="Times New Roman" w:cs="Arial"/>
          <w:sz w:val="18"/>
          <w:szCs w:val="18"/>
          <w:lang w:eastAsia="pl-PL"/>
        </w:rPr>
        <w:t xml:space="preserve"> </w:t>
      </w:r>
      <w:r w:rsidRPr="00956E5B">
        <w:rPr>
          <w:rFonts w:eastAsia="Times New Roman" w:cs="Arial"/>
          <w:sz w:val="18"/>
          <w:szCs w:val="18"/>
          <w:lang w:eastAsia="pl-PL"/>
        </w:rPr>
        <w:t xml:space="preserve">kształcenia ustawicznego spełnia kryteria dostępu (np. oświadczenie). </w:t>
      </w:r>
    </w:p>
    <w:p w:rsidR="00C60F83" w:rsidRPr="00956E5B" w:rsidRDefault="00C60F83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</w:p>
    <w:p w:rsidR="00C5645F" w:rsidRDefault="00235ED0" w:rsidP="00956E5B">
      <w:pPr>
        <w:spacing w:after="0" w:line="220" w:lineRule="atLeast"/>
        <w:rPr>
          <w:rFonts w:eastAsia="Times New Roman" w:cs="Arial"/>
          <w:sz w:val="18"/>
          <w:szCs w:val="18"/>
          <w:lang w:eastAsia="pl-PL"/>
        </w:rPr>
      </w:pPr>
      <w:r w:rsidRPr="00C5645F">
        <w:rPr>
          <w:rFonts w:eastAsia="Times New Roman" w:cs="Arial"/>
          <w:b/>
          <w:sz w:val="18"/>
          <w:szCs w:val="18"/>
          <w:lang w:eastAsia="pl-PL"/>
        </w:rPr>
        <w:t>Priorytet nr 13</w:t>
      </w:r>
      <w:r w:rsidRPr="00956E5B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C5645F" w:rsidRPr="00C5645F" w:rsidRDefault="00235ED0" w:rsidP="00C5645F">
      <w:pPr>
        <w:spacing w:after="0" w:line="220" w:lineRule="atLeast"/>
        <w:jc w:val="both"/>
        <w:rPr>
          <w:rFonts w:eastAsia="Times New Roman" w:cs="Arial"/>
          <w:i/>
          <w:sz w:val="18"/>
          <w:szCs w:val="18"/>
          <w:u w:val="single"/>
          <w:lang w:eastAsia="pl-PL"/>
        </w:rPr>
      </w:pPr>
      <w:r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>Wsparcie rozwoju umiejętności i kwalifikacji w obszarach/branżach,</w:t>
      </w:r>
      <w:r w:rsidR="00C5645F"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>które powiatowe urzędy pracy określą na podstawie wybranych przez siebie</w:t>
      </w:r>
      <w:r w:rsidR="00C5645F"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>dokumentów strategicznych, analiz czy planów rozwoju jako istotne dla danego</w:t>
      </w:r>
      <w:r w:rsidR="00C5645F"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 xml:space="preserve"> </w:t>
      </w:r>
      <w:r w:rsidRPr="00C5645F">
        <w:rPr>
          <w:rFonts w:eastAsia="Times New Roman" w:cs="Arial"/>
          <w:i/>
          <w:sz w:val="18"/>
          <w:szCs w:val="18"/>
          <w:u w:val="single"/>
          <w:lang w:eastAsia="pl-PL"/>
        </w:rPr>
        <w:t>powiatu czy województwa</w:t>
      </w:r>
    </w:p>
    <w:p w:rsidR="00BC639D" w:rsidRPr="007B5969" w:rsidRDefault="00BC639D" w:rsidP="007B5969">
      <w:pPr>
        <w:spacing w:after="0" w:line="220" w:lineRule="atLeast"/>
        <w:rPr>
          <w:rFonts w:cs="Arial"/>
          <w:sz w:val="18"/>
          <w:szCs w:val="18"/>
        </w:rPr>
      </w:pP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Priorytet odnosi się do branż o największym znaczeniu dla lokalnego rynku pracy: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1) Przetwórstwo przemysłowe (Dział 10-33)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2) Wytwarzanie i zaopatrywanie w energię elektryczną, gaz, parę wodną, gorącą wodę i powietrze do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układów klimatyzacyjnych (Dział 35)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3) Dostawa wody; gospodarowanie ściekami i odpadami oraz działalność związana z rekultywacją (Dział 38)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4) Budownictwo (Dział 41-43)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5) Transport i gospodarka magazynowa (Dział 49-53)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6) Informacja i komunikacja (Dział 61- 63)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7) Działalność profesjonalna, naukowa i techniczna (Dział 71)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8) Opieka zdrowotna i pomoc społeczna (Dział 86)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9) Pozostała działalność usługowa (Dział 95)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lastRenderedPageBreak/>
        <w:t>Warunkiem dostępu do niniejszego priorytetu jest posiadanie jako przeważającego (według stanu</w:t>
      </w:r>
      <w:r w:rsidR="007D4F19">
        <w:rPr>
          <w:rFonts w:cs="Arial"/>
          <w:sz w:val="18"/>
          <w:szCs w:val="18"/>
        </w:rPr>
        <w:t xml:space="preserve"> na 1 stycznia 2025</w:t>
      </w:r>
      <w:r>
        <w:rPr>
          <w:rFonts w:cs="Arial"/>
          <w:sz w:val="18"/>
          <w:szCs w:val="18"/>
        </w:rPr>
        <w:t xml:space="preserve"> roku) </w:t>
      </w:r>
      <w:r w:rsidRPr="007B5969">
        <w:rPr>
          <w:rFonts w:cs="Arial"/>
          <w:sz w:val="18"/>
          <w:szCs w:val="18"/>
        </w:rPr>
        <w:t>odpowiedniego kodu PKD.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Dokumenty, które były podstawą do wskazania powyższych obszarów/branż: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1. Powiatowa Strategia Rozwiązywania Problemów Społecznych Powiatu Ostrowskiego na lata 2021-2027 2. Strategia</w:t>
      </w:r>
    </w:p>
    <w:p w:rsidR="007B5969" w:rsidRPr="007B5969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Zintegrowanych Inwestycji Terytorialnych dla rozwoju Aglomeracji Kalisko-Ostrowskiej. Opracowanie 2014r. +.</w:t>
      </w:r>
    </w:p>
    <w:p w:rsidR="00BC639D" w:rsidRPr="00956E5B" w:rsidRDefault="007B5969" w:rsidP="007B5969">
      <w:pPr>
        <w:spacing w:after="0" w:line="220" w:lineRule="atLeast"/>
        <w:rPr>
          <w:rFonts w:cs="Arial"/>
          <w:sz w:val="18"/>
          <w:szCs w:val="18"/>
        </w:rPr>
      </w:pPr>
      <w:r w:rsidRPr="007B5969">
        <w:rPr>
          <w:rFonts w:cs="Arial"/>
          <w:sz w:val="18"/>
          <w:szCs w:val="18"/>
        </w:rPr>
        <w:t>3. Regionalna Strategia Innowacji dla Wielkopolski 2030.</w:t>
      </w:r>
    </w:p>
    <w:sectPr w:rsidR="00BC639D" w:rsidRPr="00956E5B" w:rsidSect="009D40DF">
      <w:headerReference w:type="default" r:id="rId8"/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F1" w:rsidRDefault="00D72BF1" w:rsidP="00476787">
      <w:pPr>
        <w:spacing w:after="0" w:line="240" w:lineRule="auto"/>
      </w:pPr>
      <w:r>
        <w:separator/>
      </w:r>
    </w:p>
  </w:endnote>
  <w:endnote w:type="continuationSeparator" w:id="0">
    <w:p w:rsidR="00D72BF1" w:rsidRDefault="00D72BF1" w:rsidP="0047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8" w:rsidRDefault="00F9008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59054</wp:posOffset>
              </wp:positionV>
              <wp:extent cx="6143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8D0C6E2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.65pt" to="484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" strokecolor="black [3200]" strokeweight=".5pt">
              <v:stroke joinstyle="miter"/>
            </v:line>
          </w:pict>
        </mc:Fallback>
      </mc:AlternateContent>
    </w:r>
  </w:p>
  <w:p w:rsidR="005E0BCB" w:rsidRDefault="005E0BCB">
    <w:pPr>
      <w:pStyle w:val="Stopka"/>
    </w:pPr>
    <w:r>
      <w:t>627373200</w:t>
    </w:r>
    <w:r>
      <w:tab/>
      <w:t xml:space="preserve">                                                                                     ul.</w:t>
    </w:r>
    <w:r w:rsidR="00AE4B3C">
      <w:t xml:space="preserve"> </w:t>
    </w:r>
    <w:r>
      <w:t>Wolności 29a</w:t>
    </w:r>
  </w:p>
  <w:p w:rsidR="005E0BCB" w:rsidRDefault="00D72BF1">
    <w:pPr>
      <w:pStyle w:val="Stopka"/>
    </w:pPr>
    <w:hyperlink r:id="rId1" w:history="1">
      <w:r w:rsidR="005E0BCB" w:rsidRPr="005E0BCB">
        <w:rPr>
          <w:rStyle w:val="Hipercze"/>
          <w:color w:val="auto"/>
          <w:u w:val="none"/>
        </w:rPr>
        <w:t>poow@praca.gov.pl</w:t>
      </w:r>
    </w:hyperlink>
    <w:r w:rsidR="005E0BCB">
      <w:t xml:space="preserve"> </w:t>
    </w:r>
    <w:r w:rsidR="005E0BCB">
      <w:tab/>
    </w:r>
    <w:r w:rsidR="005E0BCB">
      <w:tab/>
      <w:t xml:space="preserve">     63-400 Ostrów Wielkopolski</w:t>
    </w:r>
  </w:p>
  <w:p w:rsidR="000C69CE" w:rsidRPr="005E0BCB" w:rsidRDefault="000C69CE" w:rsidP="00286E9B">
    <w:pPr>
      <w:pStyle w:val="Stopka"/>
    </w:pPr>
    <w:r>
      <w:rPr>
        <w:rFonts w:eastAsia="Times New Roman" w:cs="Arial"/>
        <w:lang w:eastAsia="pl-PL"/>
      </w:rPr>
      <w:t xml:space="preserve">EPUAP  </w:t>
    </w:r>
    <w:r w:rsidRPr="000C69CE">
      <w:rPr>
        <w:rFonts w:eastAsia="Times New Roman" w:cs="Arial"/>
        <w:lang w:eastAsia="pl-PL"/>
      </w:rPr>
      <w:t>/</w:t>
    </w:r>
    <w:proofErr w:type="spellStart"/>
    <w:r w:rsidRPr="000C69CE">
      <w:rPr>
        <w:rFonts w:eastAsia="Times New Roman" w:cs="Arial"/>
        <w:lang w:eastAsia="pl-PL"/>
      </w:rPr>
      <w:t>pup_ostrowwlkp</w:t>
    </w:r>
    <w:proofErr w:type="spellEnd"/>
    <w:r w:rsidRPr="000C69CE">
      <w:rPr>
        <w:rFonts w:eastAsia="Times New Roman" w:cs="Arial"/>
        <w:lang w:eastAsia="pl-PL"/>
      </w:rPr>
      <w:t>/</w:t>
    </w:r>
    <w:proofErr w:type="spellStart"/>
    <w:r w:rsidRPr="000C69CE">
      <w:rPr>
        <w:rFonts w:eastAsia="Times New Roman" w:cs="Arial"/>
        <w:lang w:eastAsia="pl-PL"/>
      </w:rPr>
      <w:t>SkrytkaESP</w:t>
    </w:r>
    <w:proofErr w:type="spellEnd"/>
    <w:r w:rsidR="00EF06FC">
      <w:rPr>
        <w:rFonts w:eastAsia="Times New Roman" w:cs="Arial"/>
        <w:lang w:eastAsia="pl-PL"/>
      </w:rPr>
      <w:t xml:space="preserve"> </w:t>
    </w:r>
    <w:r w:rsidR="00286E9B">
      <w:rPr>
        <w:rFonts w:eastAsia="Times New Roman" w:cs="Arial"/>
        <w:lang w:eastAsia="pl-PL"/>
      </w:rPr>
      <w:t xml:space="preserve">                                         </w:t>
    </w:r>
    <w:r w:rsidR="00286E9B">
      <w:t>ostrowwielkopolski.praca.gov.pl</w:t>
    </w:r>
  </w:p>
  <w:p w:rsidR="000C69CE" w:rsidRDefault="00286E9B" w:rsidP="000C69CE">
    <w:pPr>
      <w:pStyle w:val="Stopka"/>
    </w:pPr>
    <w:r>
      <w:t>e-doręczenia:</w:t>
    </w:r>
    <w:r w:rsidRPr="00286E9B">
      <w:t xml:space="preserve"> </w:t>
    </w:r>
    <w:r>
      <w:t>AE:PL-39682-46156-AHVEH-28</w:t>
    </w:r>
    <w:r>
      <w:tab/>
    </w:r>
    <w:r w:rsidR="005E0BC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F1" w:rsidRDefault="00D72BF1" w:rsidP="00476787">
      <w:pPr>
        <w:spacing w:after="0" w:line="240" w:lineRule="auto"/>
      </w:pPr>
      <w:r>
        <w:separator/>
      </w:r>
    </w:p>
  </w:footnote>
  <w:footnote w:type="continuationSeparator" w:id="0">
    <w:p w:rsidR="00D72BF1" w:rsidRDefault="00D72BF1" w:rsidP="0047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87" w:rsidRDefault="0047678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83820</wp:posOffset>
              </wp:positionV>
              <wp:extent cx="4381200" cy="69480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200" cy="69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6787" w:rsidRDefault="00476787" w:rsidP="00C044F7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Powiatowy Urząd Pracy</w:t>
                          </w:r>
                        </w:p>
                        <w:p w:rsidR="00DC7709" w:rsidRDefault="00DC7709" w:rsidP="0043178E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C2AC5" w:rsidRDefault="004C2AC5" w:rsidP="0043178E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76787" w:rsidRDefault="00476787" w:rsidP="00DC7709">
                          <w:pPr>
                            <w:spacing w:after="0" w:line="240" w:lineRule="auto"/>
                            <w:jc w:val="both"/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w Ostrowie Wielkopolskim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4pt;margin-top:6.6pt;width:345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" stroked="f">
              <v:textbox>
                <w:txbxContent>
                  <w:p w:rsidR="00476787" w:rsidRDefault="00476787" w:rsidP="00C044F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DC7709">
                      <w:rPr>
                        <w:sz w:val="28"/>
                        <w:szCs w:val="28"/>
                      </w:rPr>
                      <w:t>Powiatowy Urząd Pracy</w:t>
                    </w:r>
                  </w:p>
                  <w:p w:rsidR="00DC7709" w:rsidRDefault="00DC7709" w:rsidP="0043178E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:rsidR="004C2AC5" w:rsidRDefault="004C2AC5" w:rsidP="0043178E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:rsidR="00476787" w:rsidRDefault="00476787" w:rsidP="00DC7709">
                    <w:pPr>
                      <w:spacing w:after="0" w:line="240" w:lineRule="auto"/>
                      <w:jc w:val="both"/>
                    </w:pPr>
                    <w:r w:rsidRPr="00DC7709">
                      <w:rPr>
                        <w:sz w:val="28"/>
                        <w:szCs w:val="28"/>
                      </w:rPr>
                      <w:t>w Ostrowie Wielkopolskim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92FC069">
          <wp:extent cx="1285200" cy="781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40DF" w:rsidRDefault="009D40DF">
    <w:pPr>
      <w:pStyle w:val="Nagwek"/>
    </w:pPr>
  </w:p>
  <w:p w:rsidR="009D40DF" w:rsidRDefault="009D4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DD1"/>
    <w:multiLevelType w:val="hybridMultilevel"/>
    <w:tmpl w:val="E668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87"/>
    <w:rsid w:val="00032702"/>
    <w:rsid w:val="000620ED"/>
    <w:rsid w:val="00072477"/>
    <w:rsid w:val="0009032B"/>
    <w:rsid w:val="00093C8D"/>
    <w:rsid w:val="00094CE2"/>
    <w:rsid w:val="000964F5"/>
    <w:rsid w:val="000A0552"/>
    <w:rsid w:val="000A7C1A"/>
    <w:rsid w:val="000B4F81"/>
    <w:rsid w:val="000B6823"/>
    <w:rsid w:val="000C69CE"/>
    <w:rsid w:val="000D20F5"/>
    <w:rsid w:val="000D2966"/>
    <w:rsid w:val="000D3A71"/>
    <w:rsid w:val="000E11B4"/>
    <w:rsid w:val="000E45FE"/>
    <w:rsid w:val="000E4EBC"/>
    <w:rsid w:val="001007EA"/>
    <w:rsid w:val="001041F6"/>
    <w:rsid w:val="00107DB1"/>
    <w:rsid w:val="00153F5A"/>
    <w:rsid w:val="00166DD8"/>
    <w:rsid w:val="0016728E"/>
    <w:rsid w:val="001706F8"/>
    <w:rsid w:val="001834EF"/>
    <w:rsid w:val="001912C4"/>
    <w:rsid w:val="00193875"/>
    <w:rsid w:val="001B66C8"/>
    <w:rsid w:val="001E1DF1"/>
    <w:rsid w:val="0023519D"/>
    <w:rsid w:val="00235ED0"/>
    <w:rsid w:val="002422D8"/>
    <w:rsid w:val="002448EC"/>
    <w:rsid w:val="00247DE0"/>
    <w:rsid w:val="00286E9B"/>
    <w:rsid w:val="00291868"/>
    <w:rsid w:val="002B5FD7"/>
    <w:rsid w:val="002C4E59"/>
    <w:rsid w:val="00303DAA"/>
    <w:rsid w:val="00304794"/>
    <w:rsid w:val="00305FFD"/>
    <w:rsid w:val="003079FE"/>
    <w:rsid w:val="00337A91"/>
    <w:rsid w:val="00340845"/>
    <w:rsid w:val="003417BA"/>
    <w:rsid w:val="0038273B"/>
    <w:rsid w:val="00382DE1"/>
    <w:rsid w:val="003938DC"/>
    <w:rsid w:val="003A2FB0"/>
    <w:rsid w:val="003D1BD4"/>
    <w:rsid w:val="003E4809"/>
    <w:rsid w:val="00403AB4"/>
    <w:rsid w:val="00417141"/>
    <w:rsid w:val="0043178E"/>
    <w:rsid w:val="00435E5E"/>
    <w:rsid w:val="00464CD7"/>
    <w:rsid w:val="00476787"/>
    <w:rsid w:val="00490445"/>
    <w:rsid w:val="00497472"/>
    <w:rsid w:val="004B3E07"/>
    <w:rsid w:val="004C2AC5"/>
    <w:rsid w:val="004E3758"/>
    <w:rsid w:val="004E66E0"/>
    <w:rsid w:val="00577EFF"/>
    <w:rsid w:val="00592A06"/>
    <w:rsid w:val="005A73B0"/>
    <w:rsid w:val="005E0BCB"/>
    <w:rsid w:val="005E53B4"/>
    <w:rsid w:val="005E7053"/>
    <w:rsid w:val="005F0389"/>
    <w:rsid w:val="005F7EF1"/>
    <w:rsid w:val="006009F0"/>
    <w:rsid w:val="00606A62"/>
    <w:rsid w:val="006314BC"/>
    <w:rsid w:val="00645F99"/>
    <w:rsid w:val="00653497"/>
    <w:rsid w:val="00655D14"/>
    <w:rsid w:val="006A39F8"/>
    <w:rsid w:val="006B3FAB"/>
    <w:rsid w:val="006C2C32"/>
    <w:rsid w:val="006E43A2"/>
    <w:rsid w:val="006F6D90"/>
    <w:rsid w:val="00714B31"/>
    <w:rsid w:val="00727E48"/>
    <w:rsid w:val="00740222"/>
    <w:rsid w:val="007479F3"/>
    <w:rsid w:val="0076615E"/>
    <w:rsid w:val="007766E4"/>
    <w:rsid w:val="00776DC8"/>
    <w:rsid w:val="00783A08"/>
    <w:rsid w:val="007A275D"/>
    <w:rsid w:val="007B075C"/>
    <w:rsid w:val="007B09B9"/>
    <w:rsid w:val="007B5969"/>
    <w:rsid w:val="007C2502"/>
    <w:rsid w:val="007D4F19"/>
    <w:rsid w:val="007D748D"/>
    <w:rsid w:val="007F04E6"/>
    <w:rsid w:val="00803C7C"/>
    <w:rsid w:val="00812E67"/>
    <w:rsid w:val="00824195"/>
    <w:rsid w:val="00827AC6"/>
    <w:rsid w:val="008348F3"/>
    <w:rsid w:val="008611B3"/>
    <w:rsid w:val="00871341"/>
    <w:rsid w:val="00881D96"/>
    <w:rsid w:val="008855A3"/>
    <w:rsid w:val="008A03C6"/>
    <w:rsid w:val="008B0778"/>
    <w:rsid w:val="008C2F32"/>
    <w:rsid w:val="008C757C"/>
    <w:rsid w:val="008D6412"/>
    <w:rsid w:val="008F3D3D"/>
    <w:rsid w:val="00902D59"/>
    <w:rsid w:val="009040EB"/>
    <w:rsid w:val="00935D9C"/>
    <w:rsid w:val="00943171"/>
    <w:rsid w:val="00947657"/>
    <w:rsid w:val="00956E5B"/>
    <w:rsid w:val="00960A51"/>
    <w:rsid w:val="00967754"/>
    <w:rsid w:val="009A27AC"/>
    <w:rsid w:val="009D40DF"/>
    <w:rsid w:val="009E4E56"/>
    <w:rsid w:val="009F3EC5"/>
    <w:rsid w:val="00A27BC6"/>
    <w:rsid w:val="00A422F4"/>
    <w:rsid w:val="00A45AFA"/>
    <w:rsid w:val="00A53812"/>
    <w:rsid w:val="00A56EEA"/>
    <w:rsid w:val="00A577E5"/>
    <w:rsid w:val="00A770D9"/>
    <w:rsid w:val="00A93BAE"/>
    <w:rsid w:val="00AA0821"/>
    <w:rsid w:val="00AA57CA"/>
    <w:rsid w:val="00AB14C7"/>
    <w:rsid w:val="00AC3F51"/>
    <w:rsid w:val="00AD4AA7"/>
    <w:rsid w:val="00AD776A"/>
    <w:rsid w:val="00AE4B3C"/>
    <w:rsid w:val="00AF372D"/>
    <w:rsid w:val="00B142A7"/>
    <w:rsid w:val="00B22B39"/>
    <w:rsid w:val="00B44AED"/>
    <w:rsid w:val="00B5412B"/>
    <w:rsid w:val="00B60755"/>
    <w:rsid w:val="00B61417"/>
    <w:rsid w:val="00B61974"/>
    <w:rsid w:val="00B72372"/>
    <w:rsid w:val="00B92CAD"/>
    <w:rsid w:val="00B94395"/>
    <w:rsid w:val="00B94458"/>
    <w:rsid w:val="00BC639D"/>
    <w:rsid w:val="00C044F7"/>
    <w:rsid w:val="00C07B79"/>
    <w:rsid w:val="00C154E7"/>
    <w:rsid w:val="00C31243"/>
    <w:rsid w:val="00C435F3"/>
    <w:rsid w:val="00C5645F"/>
    <w:rsid w:val="00C60F83"/>
    <w:rsid w:val="00C613D2"/>
    <w:rsid w:val="00C85170"/>
    <w:rsid w:val="00C91A1E"/>
    <w:rsid w:val="00CA0016"/>
    <w:rsid w:val="00CB5F39"/>
    <w:rsid w:val="00CC21F6"/>
    <w:rsid w:val="00CC26F3"/>
    <w:rsid w:val="00CC66E0"/>
    <w:rsid w:val="00CD3898"/>
    <w:rsid w:val="00CE1E95"/>
    <w:rsid w:val="00CE3598"/>
    <w:rsid w:val="00CE493F"/>
    <w:rsid w:val="00CE4FAE"/>
    <w:rsid w:val="00CF02EF"/>
    <w:rsid w:val="00D02495"/>
    <w:rsid w:val="00D03E63"/>
    <w:rsid w:val="00D047AD"/>
    <w:rsid w:val="00D076DB"/>
    <w:rsid w:val="00D14E37"/>
    <w:rsid w:val="00D22343"/>
    <w:rsid w:val="00D30647"/>
    <w:rsid w:val="00D3207D"/>
    <w:rsid w:val="00D547F6"/>
    <w:rsid w:val="00D72BF1"/>
    <w:rsid w:val="00D84C51"/>
    <w:rsid w:val="00D84F2A"/>
    <w:rsid w:val="00D87D95"/>
    <w:rsid w:val="00D93322"/>
    <w:rsid w:val="00DB1603"/>
    <w:rsid w:val="00DC0D17"/>
    <w:rsid w:val="00DC7709"/>
    <w:rsid w:val="00DD0B9A"/>
    <w:rsid w:val="00DE6E8D"/>
    <w:rsid w:val="00DF220F"/>
    <w:rsid w:val="00E0739F"/>
    <w:rsid w:val="00E1003E"/>
    <w:rsid w:val="00E3214E"/>
    <w:rsid w:val="00E35F81"/>
    <w:rsid w:val="00E74661"/>
    <w:rsid w:val="00E84C39"/>
    <w:rsid w:val="00E862CE"/>
    <w:rsid w:val="00E97100"/>
    <w:rsid w:val="00EA167E"/>
    <w:rsid w:val="00EA2CAE"/>
    <w:rsid w:val="00EA2CB6"/>
    <w:rsid w:val="00EB10F0"/>
    <w:rsid w:val="00EB4A64"/>
    <w:rsid w:val="00EB74A9"/>
    <w:rsid w:val="00EC0AEE"/>
    <w:rsid w:val="00EC2DDB"/>
    <w:rsid w:val="00EC457C"/>
    <w:rsid w:val="00ED1EA1"/>
    <w:rsid w:val="00EE3B62"/>
    <w:rsid w:val="00EF06FC"/>
    <w:rsid w:val="00F00784"/>
    <w:rsid w:val="00F06BB6"/>
    <w:rsid w:val="00F15EF8"/>
    <w:rsid w:val="00F16B8C"/>
    <w:rsid w:val="00F17800"/>
    <w:rsid w:val="00F2083E"/>
    <w:rsid w:val="00F45D34"/>
    <w:rsid w:val="00F8220B"/>
    <w:rsid w:val="00F863EE"/>
    <w:rsid w:val="00F90088"/>
    <w:rsid w:val="00FB3C8A"/>
    <w:rsid w:val="00FB493C"/>
    <w:rsid w:val="00FD3D42"/>
    <w:rsid w:val="00FE54C5"/>
    <w:rsid w:val="00FF2DB9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5F583"/>
  <w15:chartTrackingRefBased/>
  <w15:docId w15:val="{C57ABE48-4289-4877-950C-1573003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787"/>
  </w:style>
  <w:style w:type="paragraph" w:styleId="Stopka">
    <w:name w:val="footer"/>
    <w:basedOn w:val="Normalny"/>
    <w:link w:val="StopkaZnak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787"/>
  </w:style>
  <w:style w:type="character" w:styleId="Hipercze">
    <w:name w:val="Hyperlink"/>
    <w:basedOn w:val="Domylnaczcionkaakapitu"/>
    <w:uiPriority w:val="99"/>
    <w:unhideWhenUsed/>
    <w:rsid w:val="005E0B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0BC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7AD"/>
    <w:rPr>
      <w:rFonts w:ascii="Segoe UI" w:hAnsi="Segoe UI" w:cs="Segoe UI"/>
      <w:sz w:val="18"/>
      <w:szCs w:val="18"/>
    </w:rPr>
  </w:style>
  <w:style w:type="character" w:customStyle="1" w:styleId="articletext">
    <w:name w:val="article_text"/>
    <w:basedOn w:val="Domylnaczcionkaakapitu"/>
    <w:rsid w:val="0023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ow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1DF8-C67C-4E68-A122-0A11F254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2096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Gajek</dc:creator>
  <cp:keywords/>
  <dc:description/>
  <cp:lastModifiedBy>Katarzyna Płokarz</cp:lastModifiedBy>
  <cp:revision>44</cp:revision>
  <cp:lastPrinted>2025-01-08T07:11:00Z</cp:lastPrinted>
  <dcterms:created xsi:type="dcterms:W3CDTF">2025-01-17T08:43:00Z</dcterms:created>
  <dcterms:modified xsi:type="dcterms:W3CDTF">2025-01-17T09:54:00Z</dcterms:modified>
</cp:coreProperties>
</file>